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63" w:rsidRDefault="00323963" w:rsidP="00323963">
      <w:pPr>
        <w:spacing w:line="360" w:lineRule="auto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“优秀学生标兵”候选人答辩评分细则</w:t>
      </w:r>
    </w:p>
    <w:p w:rsidR="00323963" w:rsidRDefault="00323963" w:rsidP="00323963">
      <w:pPr>
        <w:jc w:val="center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（满分10分）</w:t>
      </w:r>
    </w:p>
    <w:p w:rsidR="00323963" w:rsidRDefault="00323963" w:rsidP="00323963">
      <w:pPr>
        <w:jc w:val="center"/>
        <w:rPr>
          <w:rFonts w:ascii="仿宋_GB2312" w:eastAsia="仿宋_GB2312" w:hint="eastAsia"/>
          <w:sz w:val="32"/>
        </w:rPr>
      </w:pPr>
    </w:p>
    <w:p w:rsidR="00323963" w:rsidRDefault="00323963" w:rsidP="00323963">
      <w:pPr>
        <w:spacing w:line="80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1.候选人参评的基本条件。（4分）</w:t>
      </w:r>
    </w:p>
    <w:p w:rsidR="00323963" w:rsidRDefault="00323963" w:rsidP="00323963">
      <w:pPr>
        <w:spacing w:line="80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2.特色特长：在道德风尚、学术研究、科技创新、文体艺术、创业实践、</w:t>
      </w:r>
      <w:r w:rsidRPr="00605D7E">
        <w:rPr>
          <w:rFonts w:ascii="仿宋_GB2312" w:eastAsia="仿宋_GB2312" w:hint="eastAsia"/>
          <w:sz w:val="32"/>
        </w:rPr>
        <w:t>社会实践、志愿服务等方面取得特别突出的成绩，有很强的示范带动作用。</w:t>
      </w:r>
      <w:r>
        <w:rPr>
          <w:rFonts w:ascii="仿宋_GB2312" w:eastAsia="仿宋_GB2312" w:hint="eastAsia"/>
          <w:sz w:val="32"/>
        </w:rPr>
        <w:t>（4分）</w:t>
      </w:r>
    </w:p>
    <w:p w:rsidR="009B3B7B" w:rsidRPr="00323963" w:rsidRDefault="00323963" w:rsidP="00323963">
      <w:pPr>
        <w:spacing w:line="8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3.其他条件及现场表现：具备</w:t>
      </w:r>
      <w:r>
        <w:rPr>
          <w:rFonts w:ascii="仿宋_GB2312" w:eastAsia="仿宋_GB2312"/>
          <w:sz w:val="32"/>
        </w:rPr>
        <w:t>的</w:t>
      </w:r>
      <w:r>
        <w:rPr>
          <w:rFonts w:ascii="仿宋_GB2312" w:eastAsia="仿宋_GB2312" w:hint="eastAsia"/>
          <w:sz w:val="32"/>
        </w:rPr>
        <w:t>其它</w:t>
      </w:r>
      <w:r>
        <w:rPr>
          <w:rFonts w:ascii="仿宋_GB2312" w:eastAsia="仿宋_GB2312"/>
          <w:sz w:val="32"/>
        </w:rPr>
        <w:t>素质和能力</w:t>
      </w:r>
      <w:r>
        <w:rPr>
          <w:rFonts w:ascii="仿宋_GB2312" w:eastAsia="仿宋_GB2312" w:hint="eastAsia"/>
          <w:sz w:val="32"/>
        </w:rPr>
        <w:t>；现场答辩表现及效果</w:t>
      </w:r>
      <w:r>
        <w:rPr>
          <w:rFonts w:ascii="仿宋_GB2312" w:eastAsia="仿宋_GB2312"/>
          <w:sz w:val="32"/>
        </w:rPr>
        <w:t>。</w:t>
      </w:r>
      <w:r>
        <w:rPr>
          <w:rFonts w:ascii="仿宋_GB2312" w:eastAsia="仿宋_GB2312" w:hint="eastAsia"/>
          <w:sz w:val="32"/>
        </w:rPr>
        <w:t>（2分）</w:t>
      </w:r>
      <w:bookmarkStart w:id="0" w:name="_GoBack"/>
      <w:bookmarkEnd w:id="0"/>
    </w:p>
    <w:sectPr w:rsidR="009B3B7B" w:rsidRPr="00323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63"/>
    <w:rsid w:val="00323963"/>
    <w:rsid w:val="009B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wangshuang</dc:creator>
  <cp:lastModifiedBy>wangshuang</cp:lastModifiedBy>
  <cp:revision>1</cp:revision>
  <dcterms:created xsi:type="dcterms:W3CDTF">2017-09-23T11:04:00Z</dcterms:created>
  <dcterms:modified xsi:type="dcterms:W3CDTF">2017-09-23T11:05:00Z</dcterms:modified>
</cp:coreProperties>
</file>